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F9EC5" w14:textId="77777777" w:rsidR="00EB0FDF" w:rsidRDefault="00EB0FDF" w:rsidP="00EB0F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0FDF">
        <w:rPr>
          <w:rFonts w:ascii="Times New Roman" w:hAnsi="Times New Roman"/>
          <w:b/>
          <w:bCs/>
          <w:sz w:val="24"/>
        </w:rPr>
        <w:t xml:space="preserve">Supplementary </w:t>
      </w:r>
      <w:r w:rsidRPr="00EB0FDF">
        <w:rPr>
          <w:rFonts w:ascii="Times New Roman" w:hAnsi="Times New Roman" w:cs="Times New Roman"/>
          <w:b/>
          <w:bCs/>
          <w:sz w:val="24"/>
          <w:szCs w:val="24"/>
        </w:rPr>
        <w:t>Fig 1.</w:t>
      </w:r>
      <w:r w:rsidRPr="00D0754B">
        <w:rPr>
          <w:rFonts w:ascii="Times New Roman" w:hAnsi="Times New Roman" w:cs="Times New Roman"/>
          <w:sz w:val="24"/>
          <w:szCs w:val="24"/>
        </w:rPr>
        <w:t xml:space="preserve"> Heatmap of differential genes in liver cance</w:t>
      </w:r>
      <w:r w:rsidRPr="00D0754B">
        <w:rPr>
          <w:rFonts w:ascii="Times New Roman" w:hAnsi="Times New Roman" w:cs="Times New Roman" w:hint="eastAsia"/>
          <w:sz w:val="24"/>
          <w:szCs w:val="24"/>
        </w:rPr>
        <w:t>r</w:t>
      </w:r>
      <w:r w:rsidRPr="00D0754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2ABE83" w14:textId="77777777" w:rsidR="00EB0FDF" w:rsidRDefault="00EB0FDF" w:rsidP="00EB0F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754B">
        <w:rPr>
          <w:rFonts w:ascii="Times New Roman" w:hAnsi="Times New Roman" w:cs="Times New Roman"/>
          <w:sz w:val="24"/>
          <w:szCs w:val="24"/>
        </w:rPr>
        <w:t>The heatmap summarized the expression of differentially expressed genes of group 2 vs 1, group 3 vs 1 and group 3 vs 2 in each sample, with red indicating high expression and blue indicating low expression.</w:t>
      </w:r>
      <w:bookmarkStart w:id="0" w:name="_GoBack"/>
      <w:bookmarkEnd w:id="0"/>
    </w:p>
    <w:p w14:paraId="02D418CB" w14:textId="6FDB8459" w:rsidR="00386883" w:rsidRDefault="00EB0FDF"/>
    <w:p w14:paraId="1E5C2962" w14:textId="77777777" w:rsidR="00EB0FDF" w:rsidRPr="00D0754B" w:rsidRDefault="00EB0FDF" w:rsidP="00EB0F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0FDF">
        <w:rPr>
          <w:rFonts w:ascii="Times New Roman" w:hAnsi="Times New Roman"/>
          <w:b/>
          <w:bCs/>
          <w:sz w:val="24"/>
        </w:rPr>
        <w:t>Supplementary</w:t>
      </w:r>
      <w:r w:rsidRPr="00EB0FDF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 w:rsidRPr="00EB0FDF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EB0FD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0754B">
        <w:rPr>
          <w:rFonts w:ascii="Times New Roman" w:hAnsi="Times New Roman" w:cs="Times New Roman"/>
          <w:sz w:val="24"/>
          <w:szCs w:val="24"/>
        </w:rPr>
        <w:t xml:space="preserve"> Venn diagram of differential genes screened by high-throughput sequencing. </w:t>
      </w:r>
    </w:p>
    <w:p w14:paraId="50AC5856" w14:textId="77777777" w:rsidR="00EB0FDF" w:rsidRPr="00D0754B" w:rsidRDefault="00EB0FDF" w:rsidP="00EB0F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754B">
        <w:rPr>
          <w:rFonts w:ascii="Times New Roman" w:hAnsi="Times New Roman" w:cs="Times New Roman" w:hint="eastAsia"/>
          <w:sz w:val="24"/>
          <w:szCs w:val="24"/>
        </w:rPr>
        <w:t>Group</w:t>
      </w:r>
      <w:r w:rsidRPr="00D0754B">
        <w:rPr>
          <w:rFonts w:ascii="Times New Roman" w:hAnsi="Times New Roman" w:cs="Times New Roman"/>
          <w:sz w:val="24"/>
          <w:szCs w:val="24"/>
        </w:rPr>
        <w:t xml:space="preserve"> 2 vs 1 represents the differential genes before discharge vs before SBRT</w:t>
      </w:r>
      <w:r w:rsidRPr="00D0754B">
        <w:rPr>
          <w:rFonts w:ascii="Times New Roman" w:hAnsi="Times New Roman" w:cs="Times New Roman" w:hint="eastAsia"/>
          <w:sz w:val="24"/>
          <w:szCs w:val="24"/>
        </w:rPr>
        <w:t>,</w:t>
      </w:r>
      <w:r w:rsidRPr="00D0754B">
        <w:rPr>
          <w:rFonts w:ascii="Times New Roman" w:hAnsi="Times New Roman" w:cs="Times New Roman"/>
          <w:sz w:val="24"/>
          <w:szCs w:val="24"/>
        </w:rPr>
        <w:t xml:space="preserve"> group 3 vs 1 represents the differential genes 2 months after SBRT vs before SBRT</w:t>
      </w:r>
      <w:r w:rsidRPr="00D0754B">
        <w:rPr>
          <w:rFonts w:ascii="Times New Roman" w:hAnsi="Times New Roman" w:cs="Times New Roman" w:hint="eastAsia"/>
          <w:sz w:val="24"/>
          <w:szCs w:val="24"/>
        </w:rPr>
        <w:t>,</w:t>
      </w:r>
      <w:r w:rsidRPr="00D0754B">
        <w:rPr>
          <w:rFonts w:ascii="Times New Roman" w:hAnsi="Times New Roman" w:cs="Times New Roman"/>
          <w:sz w:val="24"/>
          <w:szCs w:val="24"/>
        </w:rPr>
        <w:t xml:space="preserve"> group 3 vs 2 represents genes with no significant difference between 2 months after SBRT vs</w:t>
      </w:r>
      <w:r w:rsidRPr="00D075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0754B">
        <w:rPr>
          <w:rFonts w:ascii="Times New Roman" w:hAnsi="Times New Roman" w:cs="Times New Roman"/>
          <w:sz w:val="24"/>
          <w:szCs w:val="24"/>
        </w:rPr>
        <w:t>before discharge.</w:t>
      </w:r>
    </w:p>
    <w:p w14:paraId="7EC5BCDF" w14:textId="77777777" w:rsidR="00EB0FDF" w:rsidRPr="00D0754B" w:rsidRDefault="00EB0FDF" w:rsidP="00EB0FDF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D0754B">
        <w:rPr>
          <w:rFonts w:ascii="Times New Roman" w:hAnsi="Times New Roman" w:cs="Times New Roman"/>
          <w:sz w:val="24"/>
          <w:szCs w:val="24"/>
        </w:rPr>
        <w:t xml:space="preserve">Venn diagram of </w:t>
      </w:r>
      <w:r w:rsidRPr="00D0754B">
        <w:rPr>
          <w:rFonts w:ascii="Times New Roman" w:hAnsi="Times New Roman" w:cs="Times New Roman" w:hint="eastAsia"/>
          <w:sz w:val="24"/>
          <w:szCs w:val="24"/>
        </w:rPr>
        <w:t>increas</w:t>
      </w:r>
      <w:r w:rsidRPr="00D0754B">
        <w:rPr>
          <w:rFonts w:ascii="Times New Roman" w:hAnsi="Times New Roman" w:cs="Times New Roman"/>
          <w:sz w:val="24"/>
          <w:szCs w:val="24"/>
        </w:rPr>
        <w:t xml:space="preserve">ed genes screened by high-throughput sequencing. </w:t>
      </w:r>
    </w:p>
    <w:p w14:paraId="02EBAADB" w14:textId="77777777" w:rsidR="00EB0FDF" w:rsidRPr="00D0754B" w:rsidRDefault="00EB0FDF" w:rsidP="00EB0FDF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D0754B">
        <w:rPr>
          <w:rFonts w:ascii="Times New Roman" w:hAnsi="Times New Roman" w:cs="Times New Roman"/>
          <w:sz w:val="24"/>
          <w:szCs w:val="24"/>
        </w:rPr>
        <w:t>Venn diagram of decreased genes screened by high-throughput sequencing.</w:t>
      </w:r>
    </w:p>
    <w:p w14:paraId="53714597" w14:textId="26064025" w:rsidR="00EB0FDF" w:rsidRDefault="00EB0FDF"/>
    <w:p w14:paraId="2E387732" w14:textId="77777777" w:rsidR="00EB0FDF" w:rsidRPr="00D0754B" w:rsidRDefault="00EB0FDF" w:rsidP="00EB0F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0FDF">
        <w:rPr>
          <w:rFonts w:ascii="Times New Roman" w:hAnsi="Times New Roman"/>
          <w:b/>
          <w:bCs/>
          <w:sz w:val="24"/>
        </w:rPr>
        <w:t>Supplementary</w:t>
      </w:r>
      <w:r w:rsidRPr="00EB0FDF">
        <w:rPr>
          <w:rFonts w:ascii="Times New Roman" w:hAnsi="Times New Roman" w:cs="Times New Roman"/>
          <w:b/>
          <w:bCs/>
          <w:sz w:val="24"/>
          <w:szCs w:val="24"/>
        </w:rPr>
        <w:t xml:space="preserve"> Fig 3.</w:t>
      </w:r>
      <w:r w:rsidRPr="00D0754B">
        <w:rPr>
          <w:rFonts w:ascii="Times New Roman" w:hAnsi="Times New Roman" w:cs="Times New Roman"/>
          <w:sz w:val="24"/>
          <w:szCs w:val="24"/>
        </w:rPr>
        <w:t xml:space="preserve"> PCR </w:t>
      </w:r>
      <w:r w:rsidRPr="00D0754B">
        <w:rPr>
          <w:rFonts w:ascii="Times New Roman" w:hAnsi="Times New Roman" w:cs="Times New Roman" w:hint="eastAsia"/>
          <w:sz w:val="24"/>
          <w:szCs w:val="24"/>
        </w:rPr>
        <w:t>validation</w:t>
      </w:r>
      <w:r w:rsidRPr="00D0754B">
        <w:rPr>
          <w:rFonts w:ascii="Times New Roman" w:hAnsi="Times New Roman" w:cs="Times New Roman"/>
          <w:sz w:val="24"/>
          <w:szCs w:val="24"/>
        </w:rPr>
        <w:t xml:space="preserve"> of 28 differential genes before and after SBRT treatment. The X axis represents the </w:t>
      </w:r>
      <w:r w:rsidRPr="00D0754B">
        <w:rPr>
          <w:rFonts w:ascii="Times New Roman" w:hAnsi="Times New Roman" w:cs="Times New Roman" w:hint="eastAsia"/>
          <w:sz w:val="24"/>
          <w:szCs w:val="24"/>
        </w:rPr>
        <w:t>foldchange</w:t>
      </w:r>
      <w:r w:rsidRPr="00D0754B">
        <w:rPr>
          <w:rFonts w:ascii="Times New Roman" w:hAnsi="Times New Roman" w:cs="Times New Roman"/>
          <w:sz w:val="24"/>
          <w:szCs w:val="24"/>
        </w:rPr>
        <w:t xml:space="preserve"> value of comparison group.</w:t>
      </w:r>
    </w:p>
    <w:p w14:paraId="47418032" w14:textId="77777777" w:rsidR="00EB0FDF" w:rsidRDefault="00EB0FDF" w:rsidP="00EB0FDF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D0754B">
        <w:rPr>
          <w:rFonts w:ascii="Times New Roman" w:hAnsi="Times New Roman" w:cs="Times New Roman"/>
          <w:sz w:val="24"/>
          <w:szCs w:val="24"/>
        </w:rPr>
        <w:t xml:space="preserve">A: </w:t>
      </w:r>
      <w:r w:rsidRPr="00D0754B">
        <w:rPr>
          <w:rFonts w:ascii="Times New Roman" w:hAnsi="Times New Roman" w:cs="Times New Roman" w:hint="eastAsia"/>
          <w:sz w:val="24"/>
          <w:szCs w:val="24"/>
        </w:rPr>
        <w:t>I</w:t>
      </w:r>
      <w:r w:rsidRPr="00D0754B">
        <w:rPr>
          <w:rFonts w:ascii="Times New Roman" w:hAnsi="Times New Roman" w:cs="Times New Roman"/>
          <w:sz w:val="24"/>
          <w:szCs w:val="24"/>
        </w:rPr>
        <w:t>n pre-discharge vs before treatment (group 2 vs 1</w:t>
      </w:r>
      <w:proofErr w:type="gramStart"/>
      <w:r w:rsidRPr="00D0754B">
        <w:rPr>
          <w:rFonts w:ascii="Times New Roman" w:hAnsi="Times New Roman" w:cs="Times New Roman"/>
          <w:sz w:val="24"/>
          <w:szCs w:val="24"/>
        </w:rPr>
        <w:t>);</w:t>
      </w:r>
      <w:proofErr w:type="gramEnd"/>
      <w:r w:rsidRPr="00D075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DFDF7F" w14:textId="66D7CC93" w:rsidR="00EB0FDF" w:rsidRDefault="00EB0FDF" w:rsidP="00EB0FDF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D0754B">
        <w:rPr>
          <w:rFonts w:ascii="Times New Roman" w:hAnsi="Times New Roman" w:cs="Times New Roman"/>
          <w:sz w:val="24"/>
          <w:szCs w:val="24"/>
        </w:rPr>
        <w:t xml:space="preserve">B: </w:t>
      </w:r>
      <w:r w:rsidRPr="00D0754B">
        <w:rPr>
          <w:rFonts w:ascii="Times New Roman" w:hAnsi="Times New Roman" w:cs="Times New Roman" w:hint="eastAsia"/>
          <w:sz w:val="24"/>
          <w:szCs w:val="24"/>
        </w:rPr>
        <w:t>I</w:t>
      </w:r>
      <w:r w:rsidRPr="00D0754B">
        <w:rPr>
          <w:rFonts w:ascii="Times New Roman" w:hAnsi="Times New Roman" w:cs="Times New Roman"/>
          <w:sz w:val="24"/>
          <w:szCs w:val="24"/>
        </w:rPr>
        <w:t>n 2 months after SBRT vs before treatment (group 3 vs 1);</w:t>
      </w:r>
      <w:r w:rsidRPr="00D075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0754B">
        <w:rPr>
          <w:rFonts w:ascii="Times New Roman" w:hAnsi="Times New Roman" w:cs="Times New Roman"/>
          <w:sz w:val="24"/>
          <w:szCs w:val="24"/>
        </w:rPr>
        <w:t xml:space="preserve">C: </w:t>
      </w:r>
      <w:r w:rsidRPr="00D0754B">
        <w:rPr>
          <w:rFonts w:ascii="Times New Roman" w:hAnsi="Times New Roman" w:cs="Times New Roman" w:hint="eastAsia"/>
          <w:sz w:val="24"/>
          <w:szCs w:val="24"/>
        </w:rPr>
        <w:t>I</w:t>
      </w:r>
      <w:r w:rsidRPr="00D0754B">
        <w:rPr>
          <w:rFonts w:ascii="Times New Roman" w:hAnsi="Times New Roman" w:cs="Times New Roman"/>
          <w:sz w:val="24"/>
          <w:szCs w:val="24"/>
        </w:rPr>
        <w:t>n 2 months after SBRT vs pre-discharge (group 3 vs 2).</w:t>
      </w:r>
    </w:p>
    <w:p w14:paraId="7FCFFFC9" w14:textId="77777777" w:rsidR="00EB0FDF" w:rsidRDefault="00EB0FDF" w:rsidP="00EB0FDF">
      <w:pPr>
        <w:spacing w:line="360" w:lineRule="auto"/>
        <w:ind w:firstLine="420"/>
      </w:pPr>
    </w:p>
    <w:p w14:paraId="27EF8FE6" w14:textId="77777777" w:rsidR="00EB0FDF" w:rsidRDefault="00EB0FDF" w:rsidP="00EB0F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0FDF">
        <w:rPr>
          <w:rFonts w:ascii="Times New Roman" w:hAnsi="Times New Roman"/>
          <w:b/>
          <w:bCs/>
          <w:sz w:val="24"/>
        </w:rPr>
        <w:t>Supplementary</w:t>
      </w:r>
      <w:r w:rsidRPr="00EB0FDF">
        <w:rPr>
          <w:rFonts w:ascii="Times New Roman" w:hAnsi="Times New Roman" w:cs="Times New Roman"/>
          <w:b/>
          <w:bCs/>
          <w:sz w:val="24"/>
          <w:szCs w:val="24"/>
        </w:rPr>
        <w:t xml:space="preserve"> Fig. 4</w:t>
      </w:r>
      <w:r w:rsidRPr="004B069B">
        <w:rPr>
          <w:rFonts w:ascii="Times New Roman" w:hAnsi="Times New Roman" w:cs="Times New Roman" w:hint="eastAsia"/>
          <w:sz w:val="24"/>
          <w:szCs w:val="24"/>
        </w:rPr>
        <w:t>.</w:t>
      </w:r>
      <w:r w:rsidRPr="004B06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R</w:t>
      </w:r>
      <w:r w:rsidRPr="004B069B">
        <w:rPr>
          <w:rFonts w:ascii="Times New Roman" w:hAnsi="Times New Roman" w:cs="Times New Roman"/>
          <w:sz w:val="24"/>
          <w:szCs w:val="24"/>
        </w:rPr>
        <w:t>eceiver-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4B069B">
        <w:rPr>
          <w:rFonts w:ascii="Times New Roman" w:hAnsi="Times New Roman" w:cs="Times New Roman"/>
          <w:sz w:val="24"/>
          <w:szCs w:val="24"/>
        </w:rPr>
        <w:t xml:space="preserve">perating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B069B">
        <w:rPr>
          <w:rFonts w:ascii="Times New Roman" w:hAnsi="Times New Roman" w:cs="Times New Roman"/>
          <w:sz w:val="24"/>
          <w:szCs w:val="24"/>
        </w:rPr>
        <w:t>haracteristic (ROC) curve</w:t>
      </w:r>
      <w:r>
        <w:rPr>
          <w:rFonts w:ascii="Times New Roman" w:hAnsi="Times New Roman" w:cs="Times New Roman"/>
          <w:sz w:val="24"/>
          <w:szCs w:val="24"/>
        </w:rPr>
        <w:t xml:space="preserve">s of ADIPOR1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EPB42.</w:t>
      </w:r>
    </w:p>
    <w:p w14:paraId="2C702F6A" w14:textId="77777777" w:rsidR="00EB0FDF" w:rsidRDefault="00EB0FDF" w:rsidP="00EB0F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  A: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069B">
        <w:rPr>
          <w:rFonts w:ascii="Times New Roman" w:hAnsi="Times New Roman" w:cs="Times New Roman"/>
          <w:sz w:val="24"/>
          <w:szCs w:val="24"/>
        </w:rPr>
        <w:t>ROC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069B">
        <w:rPr>
          <w:rFonts w:ascii="Times New Roman" w:hAnsi="Times New Roman" w:cs="Times New Roman"/>
          <w:sz w:val="24"/>
          <w:szCs w:val="24"/>
        </w:rPr>
        <w:t>curve</w:t>
      </w:r>
      <w:r>
        <w:rPr>
          <w:rFonts w:ascii="Times New Roman" w:hAnsi="Times New Roman" w:cs="Times New Roman"/>
          <w:sz w:val="24"/>
          <w:szCs w:val="24"/>
        </w:rPr>
        <w:t xml:space="preserve"> of ADIPOR</w:t>
      </w:r>
      <w:proofErr w:type="gramStart"/>
      <w:r>
        <w:rPr>
          <w:rFonts w:ascii="Times New Roman" w:hAnsi="Times New Roman" w:cs="Times New Roman"/>
          <w:sz w:val="24"/>
          <w:szCs w:val="24"/>
        </w:rPr>
        <w:t>1;  B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The </w:t>
      </w:r>
      <w:r w:rsidRPr="004B069B">
        <w:rPr>
          <w:rFonts w:ascii="Times New Roman" w:hAnsi="Times New Roman" w:cs="Times New Roman"/>
          <w:sz w:val="24"/>
          <w:szCs w:val="24"/>
        </w:rPr>
        <w:t>ROC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069B">
        <w:rPr>
          <w:rFonts w:ascii="Times New Roman" w:hAnsi="Times New Roman" w:cs="Times New Roman"/>
          <w:sz w:val="24"/>
          <w:szCs w:val="24"/>
        </w:rPr>
        <w:t>curve</w:t>
      </w:r>
      <w:r>
        <w:rPr>
          <w:rFonts w:ascii="Times New Roman" w:hAnsi="Times New Roman" w:cs="Times New Roman"/>
          <w:sz w:val="24"/>
          <w:szCs w:val="24"/>
        </w:rPr>
        <w:t xml:space="preserve"> of EPB42.</w:t>
      </w:r>
    </w:p>
    <w:p w14:paraId="58D781D7" w14:textId="77777777" w:rsidR="00EB0FDF" w:rsidRDefault="00EB0FDF"/>
    <w:sectPr w:rsidR="00EB0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C04035"/>
    <w:multiLevelType w:val="multilevel"/>
    <w:tmpl w:val="5EC04035"/>
    <w:lvl w:ilvl="0">
      <w:start w:val="1"/>
      <w:numFmt w:val="upperLetter"/>
      <w:lvlText w:val="%1."/>
      <w:lvlJc w:val="left"/>
      <w:pPr>
        <w:ind w:left="960" w:hanging="360"/>
      </w:pPr>
      <w:rPr>
        <w:rFonts w:ascii="Times New Roman" w:eastAsiaTheme="minorEastAsia" w:hAnsi="Times New Roman" w:cs="Times New Roman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FDF"/>
    <w:rsid w:val="00316534"/>
    <w:rsid w:val="00D50CFA"/>
    <w:rsid w:val="00EA60E3"/>
    <w:rsid w:val="00EB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7FB01"/>
  <w15:chartTrackingRefBased/>
  <w15:docId w15:val="{304FB0B7-19E8-4C90-BA38-6A23D1FD6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FD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0F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2020-02-13T21:27:00Z</dcterms:created>
  <dcterms:modified xsi:type="dcterms:W3CDTF">2020-02-13T21:28:00Z</dcterms:modified>
</cp:coreProperties>
</file>